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2456A" w14:textId="77777777" w:rsidR="00886657" w:rsidRDefault="00000000">
      <w:pPr>
        <w:pStyle w:val="Heading1"/>
      </w:pPr>
      <w:bookmarkStart w:id="0" w:name="X25abbd4aeaaf4027de0570d652e5c6f4522209a"/>
      <w:r>
        <w:t>Bacteria respond to environmental and regulatory cues through reciprocal and nonlinear quorum sensing signal integration</w:t>
      </w:r>
    </w:p>
    <w:p w14:paraId="234DACFB" w14:textId="77777777" w:rsidR="00886657"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75F1D8DF" w14:textId="77777777" w:rsidR="00886657" w:rsidRDefault="00000000">
      <w:pPr>
        <w:pStyle w:val="Compact"/>
        <w:numPr>
          <w:ilvl w:val="0"/>
          <w:numId w:val="3"/>
        </w:numPr>
      </w:pPr>
      <w:r>
        <w:t>School of Biological Sciences, Georgia Institute of Technology, Atlanta, GA USA 30332.</w:t>
      </w:r>
    </w:p>
    <w:p w14:paraId="5A19CBFC" w14:textId="77777777" w:rsidR="00886657" w:rsidRDefault="00000000">
      <w:pPr>
        <w:pStyle w:val="Compact"/>
        <w:numPr>
          <w:ilvl w:val="0"/>
          <w:numId w:val="3"/>
        </w:numPr>
      </w:pPr>
      <w:r>
        <w:t>Department of Microbiology, Faculty of Agriculture, Cairo University, Giza 12613, Egypt.</w:t>
      </w:r>
    </w:p>
    <w:p w14:paraId="2AB36ED2" w14:textId="77777777" w:rsidR="00886657" w:rsidRDefault="00000000">
      <w:pPr>
        <w:pStyle w:val="Compact"/>
        <w:numPr>
          <w:ilvl w:val="0"/>
          <w:numId w:val="3"/>
        </w:numPr>
      </w:pPr>
      <w:r>
        <w:t>Department of Biology, College of Arts and Sciences, Georgia State University, Atlanta, GA USA 30303.</w:t>
      </w:r>
    </w:p>
    <w:p w14:paraId="40AF33D3" w14:textId="77777777" w:rsidR="00886657" w:rsidRDefault="00000000">
      <w:pPr>
        <w:pStyle w:val="Compact"/>
        <w:numPr>
          <w:ilvl w:val="0"/>
          <w:numId w:val="3"/>
        </w:numPr>
      </w:pPr>
      <w:r>
        <w:t>Present address: Sandia National Laboratories, Albuquerque, NM, USA.</w:t>
      </w:r>
    </w:p>
    <w:p w14:paraId="1C63EEB6" w14:textId="77777777" w:rsidR="00886657"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w:t>
      </w:r>
      <w:r>
        <w:lastRenderedPageBreak/>
        <w:t>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14:paraId="40C9736A" w14:textId="77777777" w:rsidR="00886657" w:rsidRDefault="00000000">
      <w:pPr>
        <w:pStyle w:val="Heading3"/>
      </w:pPr>
      <w:bookmarkStart w:id="1" w:name="significance-statement"/>
      <w:r>
        <w:t>Significance Statement</w:t>
      </w:r>
    </w:p>
    <w:p w14:paraId="0B5D854C" w14:textId="77777777" w:rsidR="00886657"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1DCF7BA5" w14:textId="77777777" w:rsidR="00886657" w:rsidRDefault="00000000">
      <w:pPr>
        <w:pStyle w:val="Heading2"/>
      </w:pPr>
      <w:bookmarkStart w:id="2" w:name="introduction"/>
      <w:bookmarkEnd w:id="1"/>
      <w:r>
        <w:t>Introduction</w:t>
      </w:r>
    </w:p>
    <w:p w14:paraId="3BC723E9" w14:textId="77777777" w:rsidR="00886657"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w:t>
      </w:r>
      <w:r>
        <w:lastRenderedPageBreak/>
        <w:t>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61B9799C" w14:textId="77777777" w:rsidR="00886657"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237B38F4" w14:textId="77777777" w:rsidR="00886657"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w:t>
      </w:r>
      <w:r>
        <w:lastRenderedPageBreak/>
        <w:t xml:space="preserve">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4944B5F7" w14:textId="77777777" w:rsidR="00886657" w:rsidRDefault="00000000">
      <w:pPr>
        <w:pStyle w:val="CaptionedFigure"/>
      </w:pPr>
      <w:bookmarkStart w:id="3" w:name="fig:architectures"/>
      <w:r>
        <w:rPr>
          <w:noProof/>
        </w:rPr>
        <w:drawing>
          <wp:inline distT="0" distB="0" distL="0" distR="0" wp14:anchorId="4975A028" wp14:editId="408DECE8">
            <wp:extent cx="5238750" cy="3800475"/>
            <wp:effectExtent l="0" t="0" r="0" b="0"/>
            <wp:docPr id="11" name="Picture" descr="Figure 1: architectures"/>
            <wp:cNvGraphicFramePr/>
            <a:graphic xmlns:a="http://schemas.openxmlformats.org/drawingml/2006/main">
              <a:graphicData uri="http://schemas.openxmlformats.org/drawingml/2006/picture">
                <pic:pic xmlns:pic="http://schemas.openxmlformats.org/drawingml/2006/picture">
                  <pic:nvPicPr>
                    <pic:cNvPr id="12"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00475"/>
                    </a:xfrm>
                    <a:prstGeom prst="rect">
                      <a:avLst/>
                    </a:prstGeom>
                    <a:noFill/>
                    <a:ln w="9525">
                      <a:noFill/>
                      <a:headEnd/>
                      <a:tailEnd/>
                    </a:ln>
                  </pic:spPr>
                </pic:pic>
              </a:graphicData>
            </a:graphic>
          </wp:inline>
        </w:drawing>
      </w:r>
    </w:p>
    <w:bookmarkEnd w:id="3"/>
    <w:p w14:paraId="313BFAB5" w14:textId="77777777" w:rsidR="00886657"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w:t>
      </w:r>
      <w:r>
        <w:lastRenderedPageBreak/>
        <w:t xml:space="preserve">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650DCE23" w14:textId="77777777" w:rsidR="00886657"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5DAA137E" w14:textId="77777777" w:rsidR="00886657"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60BAAF80" w14:textId="77777777" w:rsidR="00886657" w:rsidRDefault="00000000">
      <w:pPr>
        <w:pStyle w:val="Heading2"/>
      </w:pPr>
      <w:bookmarkStart w:id="4" w:name="results"/>
      <w:bookmarkEnd w:id="2"/>
      <w:r>
        <w:t>Results</w:t>
      </w:r>
    </w:p>
    <w:p w14:paraId="74EB9C76" w14:textId="77777777" w:rsidR="00886657"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0DDE4857" w14:textId="77777777" w:rsidR="00886657"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2389F39F" w14:textId="77777777" w:rsidR="00886657"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7E53CF35" w14:textId="77777777" w:rsidR="00886657" w:rsidRDefault="00000000">
      <w:pPr>
        <w:pStyle w:val="CaptionedFigure"/>
      </w:pPr>
      <w:bookmarkStart w:id="6" w:name="fig:observations"/>
      <w:r>
        <w:rPr>
          <w:noProof/>
        </w:rPr>
        <w:drawing>
          <wp:inline distT="0" distB="0" distL="0" distR="0" wp14:anchorId="1FC659F9" wp14:editId="17766932">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0EFAE46D" w14:textId="77777777" w:rsidR="00886657"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w:t>
      </w:r>
    </w:p>
    <w:p w14:paraId="4A19DD5F" w14:textId="77777777" w:rsidR="00886657"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5D4E730E" w14:textId="77777777" w:rsidR="00886657"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25A0CF5B" w14:textId="77777777" w:rsidR="00886657"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253FA5C9" w14:textId="77777777" w:rsidR="00886657"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15C7CDB0" w14:textId="77777777" w:rsidR="00886657"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2D2A9F39" w14:textId="77777777" w:rsidR="00886657" w:rsidRDefault="00000000">
      <w:pPr>
        <w:pStyle w:val="CaptionedFigure"/>
      </w:pPr>
      <w:bookmarkStart w:id="8" w:name="fig:reciprocal"/>
      <w:r>
        <w:rPr>
          <w:noProof/>
        </w:rPr>
        <w:drawing>
          <wp:inline distT="0" distB="0" distL="0" distR="0" wp14:anchorId="34AE5E6F" wp14:editId="206995CD">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2A06E0A9" w14:textId="77777777" w:rsidR="00886657"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w:t>
      </w:r>
    </w:p>
    <w:p w14:paraId="64E56C90" w14:textId="77777777" w:rsidR="00886657"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432D64A7" w14:textId="17FE537F" w:rsidR="00886657" w:rsidRDefault="00DB4443">
      <w:pPr>
        <w:pStyle w:val="FirstParagraph"/>
      </w:pPr>
      <w:r>
        <w:rPr>
          <w:noProof/>
        </w:rPr>
        <w:drawing>
          <wp:inline distT="0" distB="0" distL="0" distR="0" wp14:anchorId="12D5E636" wp14:editId="15D5E4D0">
            <wp:extent cx="5486400" cy="2895600"/>
            <wp:effectExtent l="0" t="0" r="0" b="0"/>
            <wp:docPr id="7310912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1274" name="Graphic 731091274"/>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3F7B455E" w14:textId="77777777" w:rsidR="00886657"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7720F3CC" w14:textId="77777777" w:rsidR="00886657"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4635D258" w14:textId="77777777" w:rsidR="00886657"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19D34FC4" w14:textId="77777777" w:rsidR="00886657"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 21) and cooperation (22–24).</w:t>
      </w:r>
    </w:p>
    <w:p w14:paraId="5AA7C4DA" w14:textId="77777777" w:rsidR="00886657" w:rsidRDefault="00000000">
      <w:pPr>
        <w:pStyle w:val="BodyText"/>
      </w:pPr>
      <w:r>
        <w:t xml:space="preserve">The prior literature provides a clear expectation that </w:t>
      </w:r>
      <w:r>
        <w:rPr>
          <w:i/>
          <w:iCs/>
        </w:rPr>
        <w:t>lasB</w:t>
      </w:r>
      <w:r>
        <w:t xml:space="preserve"> expression will be positively influenced by both AHL signal molecules (3, 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 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7137D74D" w14:textId="77777777" w:rsidR="00886657" w:rsidRDefault="00000000">
      <w:pPr>
        <w:pStyle w:val="CaptionedFigure"/>
      </w:pPr>
      <w:bookmarkStart w:id="10" w:name="fig:lasb"/>
      <w:r>
        <w:rPr>
          <w:noProof/>
        </w:rPr>
        <w:drawing>
          <wp:inline distT="0" distB="0" distL="0" distR="0" wp14:anchorId="0DA4AC46" wp14:editId="0171A1E5">
            <wp:extent cx="5238750" cy="1905000"/>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05000"/>
                    </a:xfrm>
                    <a:prstGeom prst="rect">
                      <a:avLst/>
                    </a:prstGeom>
                    <a:noFill/>
                    <a:ln w="9525">
                      <a:noFill/>
                      <a:headEnd/>
                      <a:tailEnd/>
                    </a:ln>
                  </pic:spPr>
                </pic:pic>
              </a:graphicData>
            </a:graphic>
          </wp:inline>
        </w:drawing>
      </w:r>
    </w:p>
    <w:bookmarkEnd w:id="10"/>
    <w:p w14:paraId="200695C5" w14:textId="77777777" w:rsidR="00886657"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‑HSL. Figure S.3 shows underlying expression data for full time course of experiments; Table S.5 lists the parameter values, and Figure S.7 provides a detailed comparison of model predictions and observations.</w:t>
      </w:r>
    </w:p>
    <w:p w14:paraId="37AC72B2" w14:textId="77777777" w:rsidR="00886657" w:rsidRDefault="00000000">
      <w:pPr>
        <w:pStyle w:val="Heading3"/>
      </w:pPr>
      <w:bookmarkStart w:id="11" w:name="X24d781f5bba3336bd4542178f3d51c4401d74a6"/>
      <w:bookmarkEnd w:id="9"/>
      <w:r>
        <w:lastRenderedPageBreak/>
        <w:t>Mathematical Models Incorporating Multi-signal Interactions Predict Wildtype Quorum Sensing Response to Environmental Variation</w:t>
      </w:r>
    </w:p>
    <w:p w14:paraId="6DB8DF1E" w14:textId="77777777" w:rsidR="00886657"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 32), combinations (33), etc.)</w:t>
      </w:r>
    </w:p>
    <w:p w14:paraId="68547489" w14:textId="77777777" w:rsidR="00886657"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0B07A887" w14:textId="77777777" w:rsidR="00886657"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03F16169" w14:textId="72988F7D" w:rsidR="00886657" w:rsidRDefault="00DB4443">
      <w:pPr>
        <w:pStyle w:val="FirstParagraph"/>
      </w:pPr>
      <w:r>
        <w:rPr>
          <w:noProof/>
        </w:rPr>
        <w:lastRenderedPageBreak/>
        <w:drawing>
          <wp:inline distT="0" distB="0" distL="0" distR="0" wp14:anchorId="61C5B5A7" wp14:editId="61F550BC">
            <wp:extent cx="5486400" cy="2819400"/>
            <wp:effectExtent l="0" t="0" r="0" b="0"/>
            <wp:docPr id="4184680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8036" name="Graphic 418468036"/>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5E32B622" w14:textId="77777777" w:rsidR="00886657"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5A823102" w14:textId="77777777" w:rsidR="00886657"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4F9F00D4" w14:textId="77777777" w:rsidR="00886657"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21EF9C76" w14:textId="77777777" w:rsidR="00886657" w:rsidRDefault="00000000">
      <w:pPr>
        <w:pStyle w:val="CaptionedFigure"/>
      </w:pPr>
      <w:bookmarkStart w:id="12" w:name="fig:environment"/>
      <w:r>
        <w:rPr>
          <w:noProof/>
        </w:rPr>
        <w:lastRenderedPageBreak/>
        <w:drawing>
          <wp:inline distT="0" distB="0" distL="0" distR="0" wp14:anchorId="7F5C84F6" wp14:editId="1B65C91B">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66D7B952" w14:textId="77777777" w:rsidR="00886657"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14:paraId="7CED6763" w14:textId="77777777" w:rsidR="00886657" w:rsidRDefault="00000000">
      <w:pPr>
        <w:pStyle w:val="Heading3"/>
      </w:pPr>
      <w:bookmarkStart w:id="13" w:name="Xa6938a39d0945a75713dd8913666836961d703b"/>
      <w:bookmarkEnd w:id="11"/>
      <w:r>
        <w:t>Multi-Signal Architectures Govern Functional Responses to Environmental Variation</w:t>
      </w:r>
    </w:p>
    <w:p w14:paraId="3AA43F12" w14:textId="77777777" w:rsidR="00886657"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4A1463FD" w14:textId="77777777" w:rsidR="00886657"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0B4CC192" w14:textId="77777777" w:rsidR="00886657"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1AAABDA8" w14:textId="77777777" w:rsidR="00886657" w:rsidRDefault="00000000">
      <w:pPr>
        <w:pStyle w:val="Heading2"/>
      </w:pPr>
      <w:bookmarkStart w:id="14" w:name="discussion"/>
      <w:bookmarkEnd w:id="4"/>
      <w:bookmarkEnd w:id="13"/>
      <w:r>
        <w:t>Discussion</w:t>
      </w:r>
    </w:p>
    <w:p w14:paraId="233A91AD" w14:textId="77777777" w:rsidR="00886657"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 44), and </w:t>
      </w:r>
      <w:r>
        <w:rPr>
          <w:i/>
          <w:iCs/>
        </w:rPr>
        <w:t>V. cholerae</w:t>
      </w:r>
      <w:r>
        <w:t xml:space="preserve"> (45); (46)). While this widespread design feature has been probed extensively on a molecular mechanistic scale to produce detailed intracellular “wiring diagrams” (1, 47). we still lack a general understanding of the dynamical capacities and functional sensing role(s) of these more complex architectures. Functional analyses in </w:t>
      </w:r>
      <w:r>
        <w:rPr>
          <w:i/>
          <w:iCs/>
        </w:rPr>
        <w:t xml:space="preserve">Vibrio </w:t>
      </w:r>
      <w:r>
        <w:rPr>
          <w:i/>
          <w:iCs/>
        </w:rPr>
        <w:lastRenderedPageBreak/>
        <w:t>harveyi</w:t>
      </w:r>
      <w:r>
        <w:t xml:space="preserve"> have documented how downstream behavioral responses to dual signal inputs follow a simple additive rule that potentially buffers against signal noise (44, 48, 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18F363CE" w14:textId="77777777" w:rsidR="00886657"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4C489407" w14:textId="77777777" w:rsidR="00886657"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dependent on the level of mass transfer, and vice-versa (30, 33, 49). While the reciprocal architecture allows greater robustness to increasing mass transfer </w:t>
      </w:r>
      <w:r>
        <w:rPr>
          <w:i/>
          <w:iCs/>
        </w:rPr>
        <w:t>m,</w:t>
      </w:r>
      <w:r>
        <w:t xml:space="preserve"> it is still the case that </w:t>
      </w:r>
      <w:r>
        <w:lastRenderedPageBreak/>
        <w:t xml:space="preserve">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1763A13E" w14:textId="77777777" w:rsidR="00886657"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w:t>
      </w:r>
      <w:r>
        <w:lastRenderedPageBreak/>
        <w:t>ratio of signals still changes substantially (two-fold) across the (</w:t>
      </w:r>
      <w:r>
        <w:rPr>
          <w:i/>
          <w:iCs/>
        </w:rPr>
        <w:t>m, N</w:t>
      </w:r>
      <w:r>
        <w:t>) parameter space examined, therefore maintaining an encoding of environmental conditions in the distribution of signals.</w:t>
      </w:r>
    </w:p>
    <w:p w14:paraId="642D930D" w14:textId="77777777" w:rsidR="00886657"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w:t>
      </w:r>
      <w:r>
        <w:rPr>
          <w:i/>
          <w:iCs/>
        </w:rPr>
        <w:t>P. aeruginosa</w:t>
      </w:r>
      <w:r>
        <w:t xml:space="preserve"> quorum sensing interactions can provide insights into more general gene regulatory network models.</w:t>
      </w:r>
    </w:p>
    <w:p w14:paraId="436F3729" w14:textId="77777777" w:rsidR="00886657" w:rsidRDefault="00000000">
      <w:pPr>
        <w:pStyle w:val="BodyText"/>
      </w:pPr>
      <w:r>
        <w:lastRenderedPageBreak/>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 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1CA3E6C7" w14:textId="77777777" w:rsidR="00886657" w:rsidRDefault="00000000">
      <w:pPr>
        <w:pStyle w:val="Heading2"/>
      </w:pPr>
      <w:bookmarkStart w:id="15" w:name="methods"/>
      <w:bookmarkEnd w:id="14"/>
      <w:r>
        <w:t>Methods</w:t>
      </w:r>
    </w:p>
    <w:p w14:paraId="56D933B0" w14:textId="77777777" w:rsidR="00886657" w:rsidRDefault="00000000">
      <w:pPr>
        <w:pStyle w:val="Heading3"/>
      </w:pPr>
      <w:bookmarkStart w:id="16" w:name="literature-review"/>
      <w:r>
        <w:t>Literature Review</w:t>
      </w:r>
    </w:p>
    <w:p w14:paraId="65A0C725" w14:textId="77777777" w:rsidR="00886657" w:rsidRDefault="00000000">
      <w:pPr>
        <w:pStyle w:val="FirstParagraph"/>
      </w:pPr>
      <w:r>
        <w:t xml:space="preserve">The PubMed database of the US National Institutes of Health was queried on 20 July 2021 using the query </w:t>
      </w:r>
      <w:hyperlink r:id="rId19">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6404B8F8" w14:textId="77777777" w:rsidR="00886657" w:rsidRDefault="00000000">
      <w:pPr>
        <w:pStyle w:val="Heading3"/>
      </w:pPr>
      <w:bookmarkStart w:id="17" w:name="data-collection"/>
      <w:bookmarkEnd w:id="16"/>
      <w:r>
        <w:lastRenderedPageBreak/>
        <w:t>Data Collection</w:t>
      </w:r>
    </w:p>
    <w:p w14:paraId="2438FCD4" w14:textId="77777777" w:rsidR="00886657"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394818B9" w14:textId="77777777" w:rsidR="00886657"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1DE94488" w14:textId="77777777" w:rsidR="00886657" w:rsidRDefault="00000000">
      <w:pPr>
        <w:pStyle w:val="Heading3"/>
      </w:pPr>
      <w:bookmarkStart w:id="18" w:name="data-analysis"/>
      <w:bookmarkEnd w:id="17"/>
      <w:r>
        <w:t>Data Analysis</w:t>
      </w:r>
    </w:p>
    <w:p w14:paraId="18F6C849" w14:textId="77777777" w:rsidR="00886657"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4E6E58CF" w14:textId="77777777" w:rsidR="00886657" w:rsidRDefault="00000000">
      <w:pPr>
        <w:pStyle w:val="BodyText"/>
      </w:pPr>
      <w:r>
        <w:t>Additional third-party modules:</w:t>
      </w:r>
    </w:p>
    <w:p w14:paraId="7A51D131" w14:textId="77777777" w:rsidR="00886657"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2FD33665" w14:textId="77777777" w:rsidR="00886657"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54DA8241" w14:textId="77777777" w:rsidR="00886657"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5DC3CEFA" w14:textId="77777777" w:rsidR="00886657" w:rsidRDefault="00000000">
      <w:pPr>
        <w:pStyle w:val="BodyText"/>
      </w:pPr>
      <w:r>
        <w:t>Custom color schemes adapted from seaboarn.</w:t>
      </w:r>
    </w:p>
    <w:p w14:paraId="3BE84515" w14:textId="77777777" w:rsidR="00886657"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58AEFE8F" w14:textId="77777777" w:rsidR="00886657"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4C689C2D" w14:textId="77777777" w:rsidR="00886657" w:rsidRDefault="00000000">
      <w:pPr>
        <w:pStyle w:val="Heading2"/>
      </w:pPr>
      <w:bookmarkStart w:id="19" w:name="references"/>
      <w:bookmarkEnd w:id="15"/>
      <w:bookmarkEnd w:id="18"/>
      <w:r>
        <w:t>References</w:t>
      </w:r>
    </w:p>
    <w:p w14:paraId="643C3739" w14:textId="77777777" w:rsidR="00886657" w:rsidRDefault="00000000">
      <w:pPr>
        <w:pStyle w:val="Bibliography"/>
      </w:pPr>
      <w:bookmarkStart w:id="20" w:name="ref-Papenfort2016"/>
      <w:bookmarkStart w:id="21"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14:paraId="751F6D7B" w14:textId="77777777" w:rsidR="00886657" w:rsidRDefault="00000000">
      <w:pPr>
        <w:pStyle w:val="Bibliography"/>
      </w:pPr>
      <w:bookmarkStart w:id="22" w:name="ref-Whiteley2017"/>
      <w:bookmarkEnd w:id="20"/>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14:paraId="51B7F77A" w14:textId="77777777" w:rsidR="00886657" w:rsidRDefault="00000000">
      <w:pPr>
        <w:pStyle w:val="Bibliography"/>
      </w:pPr>
      <w:bookmarkStart w:id="23" w:name="ref-Pearson1997"/>
      <w:bookmarkEnd w:id="22"/>
      <w:r>
        <w:lastRenderedPageBreak/>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14:paraId="199DDD76" w14:textId="77777777" w:rsidR="00886657" w:rsidRDefault="00000000">
      <w:pPr>
        <w:pStyle w:val="Bibliography"/>
      </w:pPr>
      <w:bookmarkStart w:id="24" w:name="ref-Chugani2001"/>
      <w:bookmarkEnd w:id="23"/>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14:paraId="5845BF0C" w14:textId="77777777" w:rsidR="00886657" w:rsidRDefault="00000000">
      <w:pPr>
        <w:pStyle w:val="Bibliography"/>
      </w:pPr>
      <w:bookmarkStart w:id="25" w:name="ref-Kiratisin2002"/>
      <w:bookmarkEnd w:id="24"/>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14:paraId="06BF1EA2" w14:textId="77777777" w:rsidR="00886657" w:rsidRDefault="00000000">
      <w:pPr>
        <w:pStyle w:val="Bibliography"/>
      </w:pPr>
      <w:bookmarkStart w:id="26" w:name="ref-Popat2015"/>
      <w:bookmarkEnd w:id="25"/>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14:paraId="6D06D636" w14:textId="77777777" w:rsidR="00886657" w:rsidRDefault="00000000">
      <w:pPr>
        <w:pStyle w:val="Bibliography"/>
      </w:pPr>
      <w:bookmarkStart w:id="27" w:name="ref-Perez2018"/>
      <w:bookmarkEnd w:id="26"/>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14:paraId="3A54B9A6" w14:textId="77777777" w:rsidR="00886657" w:rsidRDefault="00000000">
      <w:pPr>
        <w:pStyle w:val="Bibliography"/>
      </w:pPr>
      <w:bookmarkStart w:id="28" w:name="ref-Pearson1999"/>
      <w:bookmarkEnd w:id="27"/>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14:paraId="5F62DBA9" w14:textId="77777777" w:rsidR="00886657" w:rsidRDefault="00000000">
      <w:pPr>
        <w:pStyle w:val="Bibliography"/>
      </w:pPr>
      <w:bookmarkStart w:id="29" w:name="ref-Bottomley2007"/>
      <w:bookmarkEnd w:id="28"/>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14:paraId="6E91D1BC" w14:textId="77777777" w:rsidR="00886657" w:rsidRDefault="00000000">
      <w:pPr>
        <w:pStyle w:val="Bibliography"/>
      </w:pPr>
      <w:bookmarkStart w:id="30" w:name="ref-Whiteley1999"/>
      <w:bookmarkEnd w:id="29"/>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14:paraId="6B28165A" w14:textId="77777777" w:rsidR="00886657" w:rsidRDefault="00000000">
      <w:pPr>
        <w:pStyle w:val="Bibliography"/>
      </w:pPr>
      <w:bookmarkStart w:id="31" w:name="ref-Pesci1997"/>
      <w:bookmarkEnd w:id="30"/>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14:paraId="7BEE5AAD" w14:textId="77777777" w:rsidR="00886657" w:rsidRDefault="00000000">
      <w:pPr>
        <w:pStyle w:val="Bibliography"/>
      </w:pPr>
      <w:bookmarkStart w:id="32" w:name="ref-Lee2015"/>
      <w:bookmarkEnd w:id="31"/>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14:paraId="021992EA" w14:textId="77777777" w:rsidR="00886657" w:rsidRDefault="00000000">
      <w:pPr>
        <w:pStyle w:val="Bibliography"/>
      </w:pPr>
      <w:bookmarkStart w:id="33" w:name="ref-Schuster2007"/>
      <w:bookmarkEnd w:id="32"/>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14:paraId="2A25DC6C" w14:textId="77777777" w:rsidR="00886657" w:rsidRDefault="00000000">
      <w:pPr>
        <w:pStyle w:val="Bibliography"/>
      </w:pPr>
      <w:bookmarkStart w:id="34" w:name="ref-Latifi1996"/>
      <w:bookmarkEnd w:id="33"/>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14:paraId="0985E4AC" w14:textId="77777777" w:rsidR="00886657" w:rsidRDefault="00000000">
      <w:pPr>
        <w:pStyle w:val="Bibliography"/>
      </w:pPr>
      <w:bookmarkStart w:id="35" w:name="ref-Dekimpe2009"/>
      <w:bookmarkEnd w:id="34"/>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14:paraId="70A23EE6" w14:textId="77777777" w:rsidR="00886657" w:rsidRDefault="00000000">
      <w:pPr>
        <w:pStyle w:val="Bibliography"/>
      </w:pPr>
      <w:bookmarkStart w:id="36" w:name="ref-Kostylev2019"/>
      <w:bookmarkEnd w:id="35"/>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14:paraId="1B53E209" w14:textId="77777777" w:rsidR="00886657" w:rsidRDefault="00000000">
      <w:pPr>
        <w:pStyle w:val="Bibliography"/>
      </w:pPr>
      <w:bookmarkStart w:id="37" w:name="ref-Juříková2023"/>
      <w:bookmarkEnd w:id="36"/>
      <w:r>
        <w:t xml:space="preserve">17. </w:t>
      </w:r>
      <w:r>
        <w:tab/>
        <w:t xml:space="preserve">T. Juříková, </w:t>
      </w:r>
      <w:r>
        <w:rPr>
          <w:i/>
          <w:iCs/>
        </w:rPr>
        <w:t>et al.</w:t>
      </w:r>
      <w:r>
        <w:t xml:space="preserve">, The deciphering of growth-dependent strategies for quorum-sensing networks in pseudomonas aeruginosa. </w:t>
      </w:r>
      <w:r>
        <w:rPr>
          <w:i/>
          <w:iCs/>
        </w:rPr>
        <w:t>Microorganisms</w:t>
      </w:r>
      <w:r>
        <w:t xml:space="preserve"> </w:t>
      </w:r>
      <w:r>
        <w:rPr>
          <w:b/>
          <w:bCs/>
        </w:rPr>
        <w:t>11</w:t>
      </w:r>
      <w:r>
        <w:t>, 2329 (2023).</w:t>
      </w:r>
    </w:p>
    <w:p w14:paraId="7C133D12" w14:textId="77777777" w:rsidR="00886657" w:rsidRDefault="00000000">
      <w:pPr>
        <w:pStyle w:val="Bibliography"/>
      </w:pPr>
      <w:bookmarkStart w:id="38" w:name="ref-Buchler2003"/>
      <w:bookmarkEnd w:id="37"/>
      <w:r>
        <w:lastRenderedPageBreak/>
        <w:t xml:space="preserve">18. </w:t>
      </w:r>
      <w:r>
        <w:tab/>
        <w:t xml:space="preserve">N. Buchler, U. Gerland, T. Hwa, On schemes of combinatorial transcription logic. </w:t>
      </w:r>
      <w:r>
        <w:rPr>
          <w:i/>
          <w:iCs/>
        </w:rPr>
        <w:t>Proc Natl Acad Sci U S A</w:t>
      </w:r>
      <w:r>
        <w:t xml:space="preserve"> </w:t>
      </w:r>
      <w:r>
        <w:rPr>
          <w:b/>
          <w:bCs/>
        </w:rPr>
        <w:t>100</w:t>
      </w:r>
      <w:r>
        <w:t>, 5136–5141 (2003).</w:t>
      </w:r>
    </w:p>
    <w:p w14:paraId="091AD886" w14:textId="77777777" w:rsidR="00886657" w:rsidRDefault="00000000">
      <w:pPr>
        <w:pStyle w:val="Bibliography"/>
      </w:pPr>
      <w:bookmarkStart w:id="39" w:name="ref-Kaplan2008"/>
      <w:bookmarkEnd w:id="38"/>
      <w:r>
        <w:t xml:space="preserve">19. </w:t>
      </w:r>
      <w:r>
        <w:tab/>
        <w:t xml:space="preserve">S. Kaplan, A. Bren, A. Zaslaver, E. Dekel, U. Alon, Diverse two-dimensional input functions control bacterial sugar genes. </w:t>
      </w:r>
      <w:r>
        <w:rPr>
          <w:i/>
          <w:iCs/>
        </w:rPr>
        <w:t>Mol Cell</w:t>
      </w:r>
      <w:r>
        <w:t xml:space="preserve"> </w:t>
      </w:r>
      <w:r>
        <w:rPr>
          <w:b/>
          <w:bCs/>
        </w:rPr>
        <w:t>29</w:t>
      </w:r>
      <w:r>
        <w:t>, 786–792 (2008).</w:t>
      </w:r>
    </w:p>
    <w:p w14:paraId="65F13F41" w14:textId="77777777" w:rsidR="00886657" w:rsidRDefault="00000000">
      <w:pPr>
        <w:pStyle w:val="Bibliography"/>
      </w:pPr>
      <w:bookmarkStart w:id="40" w:name="ref-Casilag2016"/>
      <w:bookmarkEnd w:id="39"/>
      <w:r>
        <w:t xml:space="preserve">20.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14:paraId="731491C1" w14:textId="77777777" w:rsidR="00886657" w:rsidRDefault="00000000">
      <w:pPr>
        <w:pStyle w:val="Bibliography"/>
      </w:pPr>
      <w:bookmarkStart w:id="41" w:name="ref-Cigana2021"/>
      <w:bookmarkEnd w:id="40"/>
      <w:r>
        <w:t xml:space="preserve">21.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14:paraId="77287D97" w14:textId="77777777" w:rsidR="00886657" w:rsidRDefault="00000000">
      <w:pPr>
        <w:pStyle w:val="Bibliography"/>
      </w:pPr>
      <w:bookmarkStart w:id="42" w:name="ref-Diggle2007"/>
      <w:bookmarkEnd w:id="41"/>
      <w:r>
        <w:t xml:space="preserve">22. </w:t>
      </w:r>
      <w:r>
        <w:tab/>
        <w:t xml:space="preserve">S. Diggle, A. Griffin, G. Campbell, S. West, Cooperation and conflict in quorum-sensing bacterial populations. </w:t>
      </w:r>
      <w:r>
        <w:rPr>
          <w:i/>
          <w:iCs/>
        </w:rPr>
        <w:t>Nature</w:t>
      </w:r>
      <w:r>
        <w:t xml:space="preserve"> </w:t>
      </w:r>
      <w:r>
        <w:rPr>
          <w:b/>
          <w:bCs/>
        </w:rPr>
        <w:t>450</w:t>
      </w:r>
      <w:r>
        <w:t>, 411–414 (2007).</w:t>
      </w:r>
    </w:p>
    <w:p w14:paraId="6766FA05" w14:textId="77777777" w:rsidR="00886657" w:rsidRDefault="00000000">
      <w:pPr>
        <w:pStyle w:val="Bibliography"/>
      </w:pPr>
      <w:bookmarkStart w:id="43" w:name="ref-Allen2016"/>
      <w:bookmarkEnd w:id="42"/>
      <w:r>
        <w:t xml:space="preserve">23. </w:t>
      </w:r>
      <w:r>
        <w:tab/>
        <w:t xml:space="preserve">R. Allen, L. McNally, R. Popat, S. Brown, Quorum sensing protects bacterial co-operation from exploitation by cheats. </w:t>
      </w:r>
      <w:r>
        <w:rPr>
          <w:i/>
          <w:iCs/>
        </w:rPr>
        <w:t>ISME J</w:t>
      </w:r>
      <w:r>
        <w:t xml:space="preserve"> </w:t>
      </w:r>
      <w:r>
        <w:rPr>
          <w:b/>
          <w:bCs/>
        </w:rPr>
        <w:t>10</w:t>
      </w:r>
      <w:r>
        <w:t>, 1706–1716 (2016).</w:t>
      </w:r>
    </w:p>
    <w:p w14:paraId="74928EDE" w14:textId="77777777" w:rsidR="00886657" w:rsidRDefault="00000000">
      <w:pPr>
        <w:pStyle w:val="Bibliography"/>
      </w:pPr>
      <w:bookmarkStart w:id="44" w:name="ref-Sexton2017"/>
      <w:bookmarkEnd w:id="43"/>
      <w:r>
        <w:t xml:space="preserve">24. </w:t>
      </w:r>
      <w:r>
        <w:tab/>
        <w:t xml:space="preserve">D. Sexton, M. Schuster, Nutrient limitation determines the fitness of cheaters in bacterial siderophore cooperation. </w:t>
      </w:r>
      <w:r>
        <w:rPr>
          <w:i/>
          <w:iCs/>
        </w:rPr>
        <w:t>Nat Commun</w:t>
      </w:r>
      <w:r>
        <w:t xml:space="preserve"> </w:t>
      </w:r>
      <w:r>
        <w:rPr>
          <w:b/>
          <w:bCs/>
        </w:rPr>
        <w:t>8</w:t>
      </w:r>
      <w:r>
        <w:t>, 230 (2017).</w:t>
      </w:r>
    </w:p>
    <w:p w14:paraId="357FE0EC" w14:textId="77777777" w:rsidR="00886657" w:rsidRDefault="00000000">
      <w:pPr>
        <w:pStyle w:val="Bibliography"/>
      </w:pPr>
      <w:bookmarkStart w:id="45" w:name="ref-Nouwens2003"/>
      <w:bookmarkEnd w:id="44"/>
      <w:r>
        <w:t xml:space="preserve">25.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14:paraId="05E48465" w14:textId="77777777" w:rsidR="00886657" w:rsidRDefault="00000000">
      <w:pPr>
        <w:pStyle w:val="Bibliography"/>
      </w:pPr>
      <w:bookmarkStart w:id="46" w:name="ref-Anderson1999"/>
      <w:bookmarkEnd w:id="45"/>
      <w:r>
        <w:t xml:space="preserve">26. </w:t>
      </w:r>
      <w:r>
        <w:tab/>
        <w:t xml:space="preserve">R. M. Anderson, C. A. Zimprich, L. Rust, A second operator is involved in pseudomonas aeruginosa elastase (lasB) activation. </w:t>
      </w:r>
      <w:r>
        <w:rPr>
          <w:i/>
          <w:iCs/>
        </w:rPr>
        <w:t>J Bacteriol</w:t>
      </w:r>
      <w:r>
        <w:t xml:space="preserve"> </w:t>
      </w:r>
      <w:r>
        <w:rPr>
          <w:b/>
          <w:bCs/>
        </w:rPr>
        <w:t>181</w:t>
      </w:r>
      <w:r>
        <w:t>, 6264–6270 (1999).</w:t>
      </w:r>
    </w:p>
    <w:p w14:paraId="2AB7D52F" w14:textId="77777777" w:rsidR="00886657" w:rsidRDefault="00000000">
      <w:pPr>
        <w:pStyle w:val="Bibliography"/>
      </w:pPr>
      <w:bookmarkStart w:id="47" w:name="ref-Rattray2023"/>
      <w:bookmarkEnd w:id="46"/>
      <w:r>
        <w:t xml:space="preserve">27. </w:t>
      </w:r>
      <w:r>
        <w:tab/>
        <w:t xml:space="preserve">J. B. Rattray, P. J. Kramer, J. Gurney, S. Thomas, S. P. Brown, The dynamic response of quorum sensing to density is robust to signal supplementation and individual signal synthase knockouts. </w:t>
      </w:r>
      <w:r>
        <w:rPr>
          <w:i/>
          <w:iCs/>
        </w:rPr>
        <w:t>Microbiology (Reading)</w:t>
      </w:r>
      <w:r>
        <w:t xml:space="preserve"> </w:t>
      </w:r>
      <w:r>
        <w:rPr>
          <w:b/>
          <w:bCs/>
        </w:rPr>
        <w:t>169</w:t>
      </w:r>
      <w:r>
        <w:t>, 001321 (2023).</w:t>
      </w:r>
    </w:p>
    <w:p w14:paraId="697A3248" w14:textId="77777777" w:rsidR="00886657" w:rsidRDefault="00000000">
      <w:pPr>
        <w:pStyle w:val="Bibliography"/>
      </w:pPr>
      <w:bookmarkStart w:id="48" w:name="ref-Fuqua1994"/>
      <w:bookmarkEnd w:id="47"/>
      <w:r>
        <w:t xml:space="preserve">28.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14:paraId="0FE7D591" w14:textId="77777777" w:rsidR="00886657" w:rsidRDefault="00000000">
      <w:pPr>
        <w:pStyle w:val="Bibliography"/>
      </w:pPr>
      <w:bookmarkStart w:id="49" w:name="ref-Redfield2002"/>
      <w:bookmarkEnd w:id="48"/>
      <w:r>
        <w:t xml:space="preserve">29. </w:t>
      </w:r>
      <w:r>
        <w:tab/>
        <w:t xml:space="preserve">R. Redfield, Is quorum sensing a side effect of diffusion sensing. </w:t>
      </w:r>
      <w:r>
        <w:rPr>
          <w:i/>
          <w:iCs/>
        </w:rPr>
        <w:t>Trends Microbiol</w:t>
      </w:r>
      <w:r>
        <w:t xml:space="preserve"> </w:t>
      </w:r>
      <w:r>
        <w:rPr>
          <w:b/>
          <w:bCs/>
        </w:rPr>
        <w:t>10</w:t>
      </w:r>
      <w:r>
        <w:t>, 365–370 (2002).</w:t>
      </w:r>
    </w:p>
    <w:p w14:paraId="4BF8D43F" w14:textId="77777777" w:rsidR="00886657" w:rsidRDefault="00000000">
      <w:pPr>
        <w:pStyle w:val="Bibliography"/>
      </w:pPr>
      <w:bookmarkStart w:id="50" w:name="ref-Hense2007"/>
      <w:bookmarkEnd w:id="49"/>
      <w:r>
        <w:t xml:space="preserve">30.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14:paraId="23F3540C" w14:textId="77777777" w:rsidR="00886657" w:rsidRDefault="00000000">
      <w:pPr>
        <w:pStyle w:val="Bibliography"/>
      </w:pPr>
      <w:bookmarkStart w:id="51" w:name="ref-Boedicker2009"/>
      <w:bookmarkEnd w:id="50"/>
      <w:r>
        <w:t xml:space="preserve">31.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14:paraId="48EC1E0F" w14:textId="77777777" w:rsidR="00886657" w:rsidRDefault="00000000">
      <w:pPr>
        <w:pStyle w:val="Bibliography"/>
      </w:pPr>
      <w:bookmarkStart w:id="52" w:name="ref-Eldar2011"/>
      <w:bookmarkEnd w:id="51"/>
      <w:r>
        <w:t xml:space="preserve">32. </w:t>
      </w:r>
      <w:r>
        <w:tab/>
        <w:t xml:space="preserve">A. Eldar, Social conflict drives the evolutionary divergence of quorum sensing. </w:t>
      </w:r>
      <w:r>
        <w:rPr>
          <w:i/>
          <w:iCs/>
        </w:rPr>
        <w:t>Proc Natl Acad Sci U S A</w:t>
      </w:r>
      <w:r>
        <w:t xml:space="preserve"> </w:t>
      </w:r>
      <w:r>
        <w:rPr>
          <w:b/>
          <w:bCs/>
        </w:rPr>
        <w:t>108</w:t>
      </w:r>
      <w:r>
        <w:t>, 13635–13640 (2011).</w:t>
      </w:r>
    </w:p>
    <w:p w14:paraId="254A0D27" w14:textId="77777777" w:rsidR="00886657" w:rsidRDefault="00000000">
      <w:pPr>
        <w:pStyle w:val="Bibliography"/>
      </w:pPr>
      <w:bookmarkStart w:id="53" w:name="ref-Cornforth2014"/>
      <w:bookmarkEnd w:id="52"/>
      <w:r>
        <w:lastRenderedPageBreak/>
        <w:t xml:space="preserve">33.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24E753A2" w14:textId="77777777" w:rsidR="00886657" w:rsidRDefault="00000000">
      <w:pPr>
        <w:pStyle w:val="Bibliography"/>
      </w:pPr>
      <w:bookmarkStart w:id="54" w:name="ref-James2000"/>
      <w:bookmarkEnd w:id="53"/>
      <w:r>
        <w:t xml:space="preserve">34.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14:paraId="598025BF" w14:textId="77777777" w:rsidR="00886657" w:rsidRDefault="00000000">
      <w:pPr>
        <w:pStyle w:val="Bibliography"/>
      </w:pPr>
      <w:bookmarkStart w:id="55" w:name="ref-Dockery2001"/>
      <w:bookmarkEnd w:id="54"/>
      <w:r>
        <w:t xml:space="preserve">35.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14:paraId="2434FD8F" w14:textId="77777777" w:rsidR="00886657" w:rsidRDefault="00000000">
      <w:pPr>
        <w:pStyle w:val="Bibliography"/>
      </w:pPr>
      <w:bookmarkStart w:id="56" w:name="ref-Ward2001"/>
      <w:bookmarkEnd w:id="55"/>
      <w:r>
        <w:t xml:space="preserve">36.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14:paraId="1FF02361" w14:textId="77777777" w:rsidR="00886657" w:rsidRDefault="00000000">
      <w:pPr>
        <w:pStyle w:val="Bibliography"/>
      </w:pPr>
      <w:bookmarkStart w:id="57" w:name="ref-Brown2013"/>
      <w:bookmarkEnd w:id="56"/>
      <w:r>
        <w:t xml:space="preserve">37. </w:t>
      </w:r>
      <w:r>
        <w:tab/>
        <w:t xml:space="preserve">D. Brown, Linking molecular and population processes in mathematical models of quorum sensing. </w:t>
      </w:r>
      <w:r>
        <w:rPr>
          <w:i/>
          <w:iCs/>
        </w:rPr>
        <w:t>Bull Math Biol</w:t>
      </w:r>
      <w:r>
        <w:t xml:space="preserve"> </w:t>
      </w:r>
      <w:r>
        <w:rPr>
          <w:b/>
          <w:bCs/>
        </w:rPr>
        <w:t>75</w:t>
      </w:r>
      <w:r>
        <w:t>, 1813–1839 (2013).</w:t>
      </w:r>
    </w:p>
    <w:p w14:paraId="5A89FE34" w14:textId="77777777" w:rsidR="00886657" w:rsidRDefault="00000000">
      <w:pPr>
        <w:pStyle w:val="Bibliography"/>
      </w:pPr>
      <w:bookmarkStart w:id="58" w:name="ref-Rattray2022"/>
      <w:bookmarkEnd w:id="57"/>
      <w:r>
        <w:t xml:space="preserve">38.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14:paraId="7AE9F30B" w14:textId="77777777" w:rsidR="00886657" w:rsidRDefault="00000000">
      <w:pPr>
        <w:pStyle w:val="Bibliography"/>
      </w:pPr>
      <w:bookmarkStart w:id="59" w:name="ref-Stearns1989"/>
      <w:bookmarkEnd w:id="58"/>
      <w:r>
        <w:t xml:space="preserve">39. </w:t>
      </w:r>
      <w:r>
        <w:tab/>
        <w:t xml:space="preserve">S. Stearns, The evolutionary significance of phenotypic plasticity. </w:t>
      </w:r>
      <w:r>
        <w:rPr>
          <w:i/>
          <w:iCs/>
        </w:rPr>
        <w:t>Bioscience</w:t>
      </w:r>
      <w:r>
        <w:t xml:space="preserve"> (1989).</w:t>
      </w:r>
    </w:p>
    <w:p w14:paraId="7C1DEB3F" w14:textId="77777777" w:rsidR="00886657" w:rsidRDefault="00000000">
      <w:pPr>
        <w:pStyle w:val="Bibliography"/>
      </w:pPr>
      <w:bookmarkStart w:id="60" w:name="ref-Mayer2023"/>
      <w:bookmarkEnd w:id="59"/>
      <w:r>
        <w:t xml:space="preserve">40.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14:paraId="22D6D2A4" w14:textId="77777777" w:rsidR="00886657" w:rsidRDefault="00000000">
      <w:pPr>
        <w:pStyle w:val="Bibliography"/>
      </w:pPr>
      <w:bookmarkStart w:id="61" w:name="ref-Auchtung2006"/>
      <w:bookmarkEnd w:id="60"/>
      <w:r>
        <w:t xml:space="preserve">41.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14:paraId="265B8FB5" w14:textId="77777777" w:rsidR="00886657" w:rsidRDefault="00000000">
      <w:pPr>
        <w:pStyle w:val="Bibliography"/>
      </w:pPr>
      <w:bookmarkStart w:id="62" w:name="ref-Voichek2020"/>
      <w:bookmarkEnd w:id="61"/>
      <w:r>
        <w:t xml:space="preserve">42.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14:paraId="21A4DA16" w14:textId="77777777" w:rsidR="00886657" w:rsidRDefault="00000000">
      <w:pPr>
        <w:pStyle w:val="Bibliography"/>
      </w:pPr>
      <w:bookmarkStart w:id="63" w:name="ref-Henke2004"/>
      <w:bookmarkEnd w:id="62"/>
      <w:r>
        <w:t xml:space="preserve">43. </w:t>
      </w:r>
      <w:r>
        <w:tab/>
        <w:t xml:space="preserve">J. Henke, B. Bassler, Three parallel quorum-sensing systems regulate gene expression in vibrio harveyi. </w:t>
      </w:r>
      <w:r>
        <w:rPr>
          <w:i/>
          <w:iCs/>
        </w:rPr>
        <w:t>J Bacteriol</w:t>
      </w:r>
      <w:r>
        <w:t xml:space="preserve"> </w:t>
      </w:r>
      <w:r>
        <w:rPr>
          <w:b/>
          <w:bCs/>
        </w:rPr>
        <w:t>186</w:t>
      </w:r>
      <w:r>
        <w:t>, 6902–6914 (2004).</w:t>
      </w:r>
    </w:p>
    <w:p w14:paraId="4C4F54D5" w14:textId="77777777" w:rsidR="00886657" w:rsidRDefault="00000000">
      <w:pPr>
        <w:pStyle w:val="Bibliography"/>
      </w:pPr>
      <w:bookmarkStart w:id="64" w:name="ref-Long2009"/>
      <w:bookmarkEnd w:id="63"/>
      <w:r>
        <w:t xml:space="preserve">44.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14:paraId="1A765D3A" w14:textId="77777777" w:rsidR="00886657" w:rsidRDefault="00000000">
      <w:pPr>
        <w:pStyle w:val="Bibliography"/>
      </w:pPr>
      <w:bookmarkStart w:id="65" w:name="ref-Bridges2019"/>
      <w:bookmarkEnd w:id="64"/>
      <w:r>
        <w:t xml:space="preserve">45.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14:paraId="49E3387C" w14:textId="77777777" w:rsidR="00886657" w:rsidRDefault="00000000">
      <w:pPr>
        <w:pStyle w:val="Bibliography"/>
      </w:pPr>
      <w:bookmarkStart w:id="66" w:name="ref-Jung2016"/>
      <w:bookmarkEnd w:id="65"/>
      <w:r>
        <w:t xml:space="preserve">46. </w:t>
      </w:r>
      <w:r>
        <w:tab/>
        <w:t xml:space="preserve">S. Jung, L. Hawver, W. Ng, Parallel quorum sensing signaling pathways in vibrio cholerae. </w:t>
      </w:r>
      <w:r>
        <w:rPr>
          <w:i/>
          <w:iCs/>
        </w:rPr>
        <w:t>Curr Genet</w:t>
      </w:r>
      <w:r>
        <w:t xml:space="preserve"> </w:t>
      </w:r>
      <w:r>
        <w:rPr>
          <w:b/>
          <w:bCs/>
        </w:rPr>
        <w:t>62</w:t>
      </w:r>
      <w:r>
        <w:t>, 255–260 (2016).</w:t>
      </w:r>
    </w:p>
    <w:p w14:paraId="2CFAD2A7" w14:textId="77777777" w:rsidR="00886657" w:rsidRDefault="00000000">
      <w:pPr>
        <w:pStyle w:val="Bibliography"/>
      </w:pPr>
      <w:bookmarkStart w:id="67" w:name="ref-Mok2003"/>
      <w:bookmarkEnd w:id="66"/>
      <w:r>
        <w:t xml:space="preserve">47.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14:paraId="2D700FD5" w14:textId="77777777" w:rsidR="00886657" w:rsidRDefault="00000000">
      <w:pPr>
        <w:pStyle w:val="Bibliography"/>
      </w:pPr>
      <w:bookmarkStart w:id="68" w:name="ref-Mehta2009"/>
      <w:bookmarkEnd w:id="67"/>
      <w:r>
        <w:t xml:space="preserve">48. </w:t>
      </w:r>
      <w:r>
        <w:tab/>
        <w:t xml:space="preserve">P. Mehta, S. Goyal, T. Long, B. L. Bassler, N. S. Wingreen, Information processing and signal integration in bacterial quorum sensing. </w:t>
      </w:r>
      <w:r>
        <w:rPr>
          <w:i/>
          <w:iCs/>
        </w:rPr>
        <w:t>Mol Syst Biol</w:t>
      </w:r>
      <w:r>
        <w:t xml:space="preserve"> </w:t>
      </w:r>
      <w:r>
        <w:rPr>
          <w:b/>
          <w:bCs/>
        </w:rPr>
        <w:t>5</w:t>
      </w:r>
      <w:r>
        <w:t>, 325 (2009).</w:t>
      </w:r>
    </w:p>
    <w:p w14:paraId="3F1C3CF0" w14:textId="77777777" w:rsidR="00886657" w:rsidRDefault="00000000">
      <w:pPr>
        <w:pStyle w:val="Bibliography"/>
      </w:pPr>
      <w:bookmarkStart w:id="69" w:name="ref-West2012"/>
      <w:bookmarkEnd w:id="68"/>
      <w:r>
        <w:lastRenderedPageBreak/>
        <w:t xml:space="preserve">49. </w:t>
      </w:r>
      <w:r>
        <w:tab/>
        <w:t xml:space="preserve">S. A. West, K. Winzer, A. Gardner, S. P. Diggle, Quorum sensing and the confusion about diffusion. </w:t>
      </w:r>
      <w:r>
        <w:rPr>
          <w:i/>
          <w:iCs/>
        </w:rPr>
        <w:t>Trends Microbiol</w:t>
      </w:r>
      <w:r>
        <w:t xml:space="preserve"> </w:t>
      </w:r>
      <w:r>
        <w:rPr>
          <w:b/>
          <w:bCs/>
        </w:rPr>
        <w:t>20</w:t>
      </w:r>
      <w:r>
        <w:t>, 586–594 (2012).</w:t>
      </w:r>
    </w:p>
    <w:p w14:paraId="395AA5DE" w14:textId="77777777" w:rsidR="00886657" w:rsidRDefault="00000000">
      <w:pPr>
        <w:pStyle w:val="Bibliography"/>
      </w:pPr>
      <w:bookmarkStart w:id="70" w:name="ref-Keegan2023"/>
      <w:bookmarkEnd w:id="69"/>
      <w:r>
        <w:t xml:space="preserve">50. </w:t>
      </w:r>
      <w:r>
        <w:tab/>
        <w:t xml:space="preserve">N. R. Keegan, </w:t>
      </w:r>
      <w:r>
        <w:rPr>
          <w:i/>
          <w:iCs/>
        </w:rPr>
        <w:t>et al.</w:t>
      </w:r>
      <w:r>
        <w:t xml:space="preserve">, Promoter selectivity of the RhlR quorum-sensing transcription factor receptor in pseudomonas aeruginosa is coordinated by distinct and overlapping dependencies on C4-homoserine lactone and PqsE. </w:t>
      </w:r>
      <w:r>
        <w:rPr>
          <w:i/>
          <w:iCs/>
        </w:rPr>
        <w:t>PLoS Genet</w:t>
      </w:r>
      <w:r>
        <w:t xml:space="preserve"> </w:t>
      </w:r>
      <w:r>
        <w:rPr>
          <w:b/>
          <w:bCs/>
        </w:rPr>
        <w:t>19</w:t>
      </w:r>
      <w:r>
        <w:t>, e1010900 (2023).</w:t>
      </w:r>
    </w:p>
    <w:p w14:paraId="659A17F4" w14:textId="77777777" w:rsidR="00886657" w:rsidRDefault="00000000">
      <w:pPr>
        <w:pStyle w:val="Bibliography"/>
      </w:pPr>
      <w:bookmarkStart w:id="71" w:name="ref-Sauer1995"/>
      <w:bookmarkEnd w:id="70"/>
      <w:r>
        <w:t xml:space="preserve">51. </w:t>
      </w:r>
      <w:r>
        <w:tab/>
        <w:t xml:space="preserve">F. Sauer, S. Hansen, R. Tjian, Multiple TAFIIs directing synergistic activation of transcription. </w:t>
      </w:r>
      <w:r>
        <w:rPr>
          <w:i/>
          <w:iCs/>
        </w:rPr>
        <w:t>Science</w:t>
      </w:r>
      <w:r>
        <w:t xml:space="preserve"> </w:t>
      </w:r>
      <w:r>
        <w:rPr>
          <w:b/>
          <w:bCs/>
        </w:rPr>
        <w:t>270</w:t>
      </w:r>
      <w:r>
        <w:t>, 1783–1788 (1995).</w:t>
      </w:r>
    </w:p>
    <w:p w14:paraId="6395D177" w14:textId="77777777" w:rsidR="00886657" w:rsidRDefault="00000000">
      <w:pPr>
        <w:pStyle w:val="Bibliography"/>
      </w:pPr>
      <w:bookmarkStart w:id="72" w:name="ref-McGrath2004"/>
      <w:bookmarkEnd w:id="71"/>
      <w:r>
        <w:t xml:space="preserve">52.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14:paraId="0591BCAB" w14:textId="77777777" w:rsidR="00886657" w:rsidRDefault="00000000">
      <w:pPr>
        <w:pStyle w:val="Bibliography"/>
      </w:pPr>
      <w:bookmarkStart w:id="73" w:name="ref-Becher2000"/>
      <w:bookmarkEnd w:id="72"/>
      <w:r>
        <w:t xml:space="preserve">53. </w:t>
      </w:r>
      <w:r>
        <w:tab/>
        <w:t xml:space="preserve">A. Becher, H. P. Schweizer, Integration-proficient pseudomonas aeruginosa vectors for isolation of single-copy chromosomal lacZ and lux gene fusions. </w:t>
      </w:r>
      <w:r>
        <w:rPr>
          <w:i/>
          <w:iCs/>
        </w:rPr>
        <w:t>Biotechniques</w:t>
      </w:r>
      <w:r>
        <w:t xml:space="preserve"> </w:t>
      </w:r>
      <w:r>
        <w:rPr>
          <w:b/>
          <w:bCs/>
        </w:rPr>
        <w:t>29</w:t>
      </w:r>
      <w:r>
        <w:t>, 948–952 (2000).</w:t>
      </w:r>
    </w:p>
    <w:p w14:paraId="42FF97F4" w14:textId="77777777" w:rsidR="00886657" w:rsidRDefault="00000000">
      <w:pPr>
        <w:pStyle w:val="Bibliography"/>
      </w:pPr>
      <w:bookmarkStart w:id="74" w:name="ref-Ratkowsky1983"/>
      <w:bookmarkEnd w:id="73"/>
      <w:r>
        <w:t xml:space="preserve">54. </w:t>
      </w:r>
      <w:r>
        <w:tab/>
        <w:t xml:space="preserve">D. A. Ratkowsky, </w:t>
      </w:r>
      <w:r>
        <w:rPr>
          <w:i/>
          <w:iCs/>
        </w:rPr>
        <w:t>Nonlinear regression modeling: A unified practical approach</w:t>
      </w:r>
      <w:r>
        <w:t xml:space="preserve"> (Marcel Dekker Incorporated, 1983).</w:t>
      </w:r>
    </w:p>
    <w:p w14:paraId="62754F71" w14:textId="77777777" w:rsidR="00886657" w:rsidRDefault="00000000">
      <w:pPr>
        <w:pStyle w:val="Bibliography"/>
      </w:pPr>
      <w:bookmarkStart w:id="75" w:name="ref-Powell1968"/>
      <w:bookmarkEnd w:id="74"/>
      <w:r>
        <w:t xml:space="preserve">55. </w:t>
      </w:r>
      <w:r>
        <w:tab/>
        <w:t>M. J. Powell, A fortran subroutine for solving systems of nonlinear algebraic equations. (1968).</w:t>
      </w:r>
      <w:bookmarkEnd w:id="0"/>
      <w:bookmarkEnd w:id="19"/>
      <w:bookmarkEnd w:id="21"/>
      <w:bookmarkEnd w:id="75"/>
    </w:p>
    <w:sectPr w:rsidR="00886657"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0EC90B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5FD6EF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163352074">
    <w:abstractNumId w:val="0"/>
  </w:num>
  <w:num w:numId="3" w16cid:durableId="16301655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4449AC"/>
    <w:rsid w:val="007D0AF9"/>
    <w:rsid w:val="00806A02"/>
    <w:rsid w:val="00886657"/>
    <w:rsid w:val="00A20EEA"/>
    <w:rsid w:val="00A644EF"/>
    <w:rsid w:val="00B1321B"/>
    <w:rsid w:val="00B301F9"/>
    <w:rsid w:val="00B96944"/>
    <w:rsid w:val="00C746F5"/>
    <w:rsid w:val="00D220FA"/>
    <w:rsid w:val="00D5666E"/>
    <w:rsid w:val="00D6041C"/>
    <w:rsid w:val="00DB4443"/>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6AFB3"/>
  <w15:docId w15:val="{0699EC5D-05A6-7449-BE09-8F0D8C3C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28</Pages>
  <Words>7744</Words>
  <Characters>44146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2025-06-29T23:18:00Z</dcterms:created>
  <dcterms:modified xsi:type="dcterms:W3CDTF">2025-06-29T23:21:00Z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